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DE" w:rsidRPr="009872DE" w:rsidRDefault="009872DE" w:rsidP="009872DE">
      <w:r w:rsidRPr="009872DE">
        <w:fldChar w:fldCharType="begin"/>
      </w:r>
      <w:r w:rsidRPr="009872DE">
        <w:instrText xml:space="preserve"> HYPERLINK "http://www.tsouz.ru/eek/RSEEK/RSEEK/2013/1z/Pages/R_6.aspx" </w:instrText>
      </w:r>
      <w:r w:rsidRPr="009872DE">
        <w:fldChar w:fldCharType="separate"/>
      </w:r>
      <w:r w:rsidRPr="009872DE">
        <w:rPr>
          <w:color w:val="0000FF" w:themeColor="hyperlink"/>
          <w:u w:val="single"/>
        </w:rPr>
        <w:t>http://www.tsouz.ru/eek/RSEEK/RSEEK/2013/1z/Pages/R_6.aspx</w:t>
      </w:r>
      <w:r w:rsidRPr="009872DE">
        <w:rPr>
          <w:color w:val="0000FF" w:themeColor="hyperlink"/>
          <w:u w:val="single"/>
        </w:rPr>
        <w:fldChar w:fldCharType="end"/>
      </w:r>
    </w:p>
    <w:p w:rsidR="009872DE" w:rsidRPr="009872DE" w:rsidRDefault="009872DE" w:rsidP="009872DE"/>
    <w:p w:rsidR="009872DE" w:rsidRPr="009872DE" w:rsidRDefault="009872DE" w:rsidP="009872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ЕВРАЗИЙСКАЯ ЭКОНОМИЧЕСКАЯ КОМИССИЯ</w:t>
      </w:r>
    </w:p>
    <w:p w:rsidR="009872DE" w:rsidRPr="009872DE" w:rsidRDefault="009872DE" w:rsidP="009872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</w:t>
      </w:r>
    </w:p>
    <w:p w:rsidR="009872DE" w:rsidRPr="009872DE" w:rsidRDefault="009872DE" w:rsidP="009872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872DE">
        <w:rPr>
          <w:rFonts w:ascii="Arial" w:eastAsia="Times New Roman" w:hAnsi="Arial" w:cs="Arial"/>
          <w:b/>
          <w:bCs/>
          <w:snapToGrid w:val="0"/>
          <w:color w:val="000000"/>
          <w:spacing w:val="80"/>
          <w:sz w:val="24"/>
          <w:szCs w:val="24"/>
          <w:lang w:val="x-none"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93"/>
        <w:gridCol w:w="4142"/>
      </w:tblGrid>
      <w:tr w:rsidR="009872DE" w:rsidRPr="009872DE" w:rsidTr="004E0B10">
        <w:trPr>
          <w:jc w:val="center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января 2013 г.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872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                     Москва</w:t>
            </w:r>
          </w:p>
        </w:tc>
      </w:tr>
    </w:tbl>
    <w:p w:rsidR="009872DE" w:rsidRPr="009872DE" w:rsidRDefault="009872DE" w:rsidP="009872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технический регламент Таможенного союза «О безопасности колесных транспортных средств» (</w:t>
      </w:r>
      <w:proofErr w:type="gramStart"/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ТС 018/2011)</w:t>
      </w:r>
    </w:p>
    <w:p w:rsidR="009872DE" w:rsidRPr="009872DE" w:rsidRDefault="009872DE" w:rsidP="009872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72DE" w:rsidRPr="009872DE" w:rsidRDefault="009872DE" w:rsidP="009872D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3 Договора о Евразийской экономической комиссии от 18 ноября 2011 года Совет Евразийской экономической комиссии </w:t>
      </w:r>
      <w:r w:rsidRPr="009872DE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872DE" w:rsidRPr="009872DE" w:rsidRDefault="009872DE" w:rsidP="009872DE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Внести в технический регламент Таможенного союза «О безопасности колесных транспортных средств» (</w:t>
      </w:r>
      <w:proofErr w:type="gramStart"/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ТС 018/2011), утвержденный Решением Комиссии Таможенного союза от 9 декабря 2011 г. № 877, изменения согласно </w:t>
      </w:r>
      <w:hyperlink r:id="rId5" w:history="1">
        <w:r w:rsidRPr="009872DE">
          <w:rPr>
            <w:rFonts w:ascii="Arial" w:eastAsia="Times New Roman" w:hAnsi="Arial" w:cs="Arial"/>
            <w:b/>
            <w:bCs/>
            <w:color w:val="3966BF"/>
            <w:sz w:val="24"/>
            <w:szCs w:val="24"/>
            <w:lang w:eastAsia="ru-RU"/>
          </w:rPr>
          <w:t>приложению</w:t>
        </w:r>
      </w:hyperlink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72DE" w:rsidRPr="009872DE" w:rsidRDefault="009872DE" w:rsidP="009872D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Настоящее Решение вступает в силу по истечении 30 календарных дней </w:t>
      </w:r>
      <w:proofErr w:type="gramStart"/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 </w:t>
      </w:r>
    </w:p>
    <w:p w:rsidR="009872DE" w:rsidRPr="009872DE" w:rsidRDefault="009872DE" w:rsidP="009872D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72DE" w:rsidRPr="009872DE" w:rsidRDefault="009872DE" w:rsidP="009872DE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Совета Евразийской экономической комиссии:</w:t>
      </w:r>
    </w:p>
    <w:p w:rsidR="009872DE" w:rsidRPr="009872DE" w:rsidRDefault="009872DE" w:rsidP="009872DE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7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72"/>
        <w:gridCol w:w="3248"/>
      </w:tblGrid>
      <w:tr w:rsidR="009872DE" w:rsidRPr="009872DE" w:rsidTr="004E0B10">
        <w:trPr>
          <w:jc w:val="center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Республики</w:t>
            </w: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Беларусь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Республики</w:t>
            </w: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Казахстан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Российской</w:t>
            </w: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</w:tr>
      <w:tr w:rsidR="009872DE" w:rsidRPr="009872DE" w:rsidTr="004E0B10">
        <w:trPr>
          <w:trHeight w:val="645"/>
          <w:jc w:val="center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С. </w:t>
            </w:r>
            <w:proofErr w:type="spellStart"/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Румас</w:t>
            </w:r>
            <w:proofErr w:type="spellEnd"/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К. </w:t>
            </w:r>
            <w:proofErr w:type="spellStart"/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Келимбетов</w:t>
            </w:r>
            <w:proofErr w:type="spellEnd"/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872DE" w:rsidRPr="009872DE" w:rsidRDefault="009872DE" w:rsidP="009872DE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И. Шувалов</w:t>
            </w:r>
          </w:p>
        </w:tc>
      </w:tr>
    </w:tbl>
    <w:p w:rsidR="009872DE" w:rsidRPr="009872DE" w:rsidRDefault="009872DE" w:rsidP="009872DE">
      <w:r w:rsidRPr="009872DE">
        <w:t xml:space="preserve"> </w:t>
      </w:r>
    </w:p>
    <w:p w:rsidR="009872DE" w:rsidRPr="009872DE" w:rsidRDefault="009872DE" w:rsidP="009872DE">
      <w:r w:rsidRPr="009872DE">
        <w:t xml:space="preserve">Приложение - </w:t>
      </w:r>
      <w:hyperlink r:id="rId6" w:history="1">
        <w:r w:rsidRPr="009872DE">
          <w:rPr>
            <w:color w:val="0000FF" w:themeColor="hyperlink"/>
            <w:u w:val="single"/>
          </w:rPr>
          <w:t>http://www.tsouz.ru/eek/RSEEK/RSEEK/2013/1z/Documents/P_6.pdf</w:t>
        </w:r>
      </w:hyperlink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lastRenderedPageBreak/>
        <w:t>Приложение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к </w:t>
      </w:r>
      <w:hyperlink w:anchor="sub_0" w:history="1">
        <w:r w:rsidRPr="009872D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решению</w:t>
        </w:r>
      </w:hyperlink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Совета Евразийской экономической комиссии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от 30 января 2013 г. N 6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Изменения, которые вносятся в технический регламент Таможенного союза "О безопасности колесных транспортных средств" (</w:t>
      </w:r>
      <w:proofErr w:type="gramStart"/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ТР</w:t>
      </w:r>
      <w:proofErr w:type="gramEnd"/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ТС 018/2011)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1. В </w:t>
      </w:r>
      <w:hyperlink r:id="rId7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пункте 6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>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после </w:t>
      </w:r>
      <w:hyperlink r:id="rId8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абзаца четвертого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</w:t>
      </w:r>
      <w:hyperlink r:id="rId9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абзацем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"аппаратура спутниковой навигации"</w:t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- аппаратно-программное устройство, устанавливаемое на транспортное средство для определения его текущего местоположения, направления и скорости движения по сигналам не менее двух действующих глобальных навигационных спутниковых систем, обмена данными с дополнительным бортовым оборудованием, а также для обмена информацией по сетям подвижной радиотелефонной связи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;"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;</w:t>
      </w:r>
    </w:p>
    <w:p w:rsidR="009872DE" w:rsidRPr="009872DE" w:rsidRDefault="00D6579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hyperlink r:id="rId10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 восемьдесят второй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словами ", предназначенный для повышения пассивной безопасности транспортного средства путем фиксации положения водителя и пассажиров относительно кузова";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после </w:t>
      </w:r>
      <w:hyperlink r:id="rId11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абзаца сто второго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</w:t>
      </w:r>
      <w:hyperlink r:id="rId12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абзацем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"система вызова экстренных оперативных служб"</w:t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- система, выполняющая функции устройства вызова экстренных оперативных служб, обеспечивающая передачу сообщения о транспортном средстве при дорожно-транспортном и ином происшествиях в автоматическом режиме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;"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после </w:t>
      </w:r>
      <w:hyperlink r:id="rId13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абзаца сто сорок первого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</w:t>
      </w:r>
      <w:hyperlink r:id="rId14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абзацем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"устройство вызова экстренных оперативных служб"</w:t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- устройство,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дорожно-транспортном и ином происшествиях в ручном режиме и двустороннюю голосовую связь с экстренным и оперативными службами по сетям подвижной радиотелефонной связи;".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2. </w:t>
      </w:r>
      <w:hyperlink r:id="rId15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 13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изложить в следующей редакции: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"13. Выпускаемые в обращение транспортные средства категории М, используемые для коммерческих перевозок пассажиров, а также специально предназначенные для перевозки детей, и категории N, используемые для перевозки твердых бытовых отходов и мусора (мусоровозы), специальных, опасных, тяжеловесных и (или) крупногабаритных грузов, а также транспортные средства оперативных служб подлежат оснащению аппаратурой спутниковой навигации. Конструкция указанных транспортных средств должна обеспечивать возможность оснащения их указанной аппаратурой.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Транспортные средства оперативных служб и транспортные средства категории N, используемые для перевозки твердых бытовых отходов и мусора (мусоровозы), оснащаются аппаратурой спутниковой навигации в порядке, установленном законодательством государств-членов Таможенного союза.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Оснащение указанной аппаратурой транспортных средств, находящихся в эксплуатации, осуществляется в порядке, установленном законодательством государств-членов Таможенного союза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.".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3. Дополнить </w:t>
      </w:r>
      <w:hyperlink r:id="rId16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пунктом 13.1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"13.1. 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Выпускаемые в обращение транспортные средства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4C3F0384" wp14:editId="2876C7EE">
            <wp:extent cx="243205" cy="233680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входящие в область применения Правил ЕЭК ООН N 94 и 95, и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FE0BB4B" wp14:editId="1B7E112D">
            <wp:extent cx="213995" cy="2336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входящие в область применения Правил ЕЭК ООН N 95, оснащаются системой вызова экстренных оперативных служб, прочие выпускаемые в обращение транспортные средства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4E65B899" wp14:editId="2F67A9D6">
            <wp:extent cx="243205" cy="233680"/>
            <wp:effectExtent l="0" t="0" r="444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6EB51EE" wp14:editId="7CB2F378">
            <wp:extent cx="213995" cy="2336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транспортные средства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83344E4" wp14:editId="61E6DA3C">
            <wp:extent cx="243205" cy="233680"/>
            <wp:effectExtent l="0" t="0" r="444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04F0FED" wp14:editId="2422F906">
            <wp:extent cx="243205" cy="233680"/>
            <wp:effectExtent l="0" t="0" r="44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CB833D1" wp14:editId="71A8D48E">
            <wp:extent cx="213995" cy="23368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4EF40B2" wp14:editId="1991E946">
            <wp:extent cx="213995" cy="2336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оснащаются устройством вызова экстренных оперативных служб.".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4. </w:t>
      </w:r>
      <w:hyperlink r:id="rId25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Таблицу 4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приложения N 1 к указанному техническому регламенту дополнить </w:t>
      </w:r>
      <w:hyperlink r:id="rId26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позициями 117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27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118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"117. Аппаратура спутниковой навигации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118. Устройство вызова экстренных оперативных служб".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5. В </w:t>
      </w:r>
      <w:hyperlink r:id="rId28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приложении N 2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к указанному техническому регламенту:</w:t>
      </w:r>
    </w:p>
    <w:p w:rsidR="009872DE" w:rsidRPr="009872DE" w:rsidRDefault="00D6579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hyperlink r:id="rId29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таблицу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</w:t>
      </w:r>
      <w:hyperlink r:id="rId30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позициями 113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31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114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  <w:sectPr w:rsidR="009872DE" w:rsidRPr="009872D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3360"/>
        <w:gridCol w:w="4060"/>
        <w:gridCol w:w="2940"/>
      </w:tblGrid>
      <w:tr w:rsidR="009872DE" w:rsidRPr="009872DE" w:rsidTr="004E0B1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Оснащение устройством вызова экстренных оперативных служб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1F9E93" wp14:editId="27133A5B">
                  <wp:extent cx="213995" cy="19431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не входящие в область применения Правил ЕЭК ООН N 94 и 95; </w:t>
            </w: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B27D71" wp14:editId="05831D5D">
                  <wp:extent cx="175260" cy="19431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не входящие в область применения Правил ЕЭК ООН N 95,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0A2CF0" wp14:editId="2B6AB6D9">
                  <wp:extent cx="213995" cy="19431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F57D7F" wp14:editId="5FDC42BB">
                  <wp:extent cx="213995" cy="19431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F8F8B8" wp14:editId="2D6A7D31">
                  <wp:extent cx="175260" cy="19431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</w:t>
            </w: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518C2D" wp14:editId="787B9035">
                  <wp:extent cx="175260" cy="19431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Пункт 16 Приложения N 3 к настоящему техническому регламенту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 2015 г.)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 2016 г.)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 2017 г.)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2)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37)</w:t>
            </w:r>
          </w:p>
        </w:tc>
      </w:tr>
      <w:tr w:rsidR="009872DE" w:rsidRPr="009872DE" w:rsidTr="004E0B1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Оснащение системой вызова экстренных оперативных служб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5836BE" wp14:editId="4E38E9AB">
                  <wp:extent cx="213995" cy="19431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входящие в область применения Правил ЕЭК ООН N 94 и 95; </w:t>
            </w:r>
            <w:r w:rsidRPr="009872DE">
              <w:rPr>
                <w:rFonts w:ascii="Arial" w:eastAsiaTheme="minorEastAsia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692C5F" wp14:editId="75D81DE3">
                  <wp:extent cx="175260" cy="19431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входящие в область применения Правил ЕЭК ООН N 95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Пункт 17 Приложения N 3 к настоящему техническому регламенту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 2015 г.)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 2017 г.)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3A3C43" w:rsidRDefault="003A3C43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2)</w:t>
            </w:r>
          </w:p>
        </w:tc>
      </w:tr>
    </w:tbl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  <w:sectPr w:rsidR="009872DE" w:rsidRPr="009872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872DE" w:rsidRPr="009872DE" w:rsidRDefault="00D6579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hyperlink r:id="rId40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примечания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дополнить </w:t>
      </w:r>
      <w:hyperlink r:id="rId41" w:history="1">
        <w:r w:rsidR="009872DE"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пунктом 37</w:t>
        </w:r>
      </w:hyperlink>
      <w:r w:rsidR="009872DE"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"37) Требования распространяются на транспортные средства, используемые для коммерческой перевозки пассажиров, специально предназначенные для перевозки детей в возрасте от 6 до 16 лет и перевозки опасных грузов, твердых бытовых отходов и мусора (мусоровозы), а также на тягачи, используемые для буксировки прицепов, перевозящих опасные грузы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.".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6. </w:t>
      </w:r>
      <w:hyperlink r:id="rId42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Приложение N 3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к указанному техническому регламенту дополнить </w:t>
      </w:r>
      <w:hyperlink r:id="rId43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пунктами 16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44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17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"16. Требования к транспортным средствам в отношении установки устройства вызова экстренных оперативных служб 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16.1. Транспортные средства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EFF8486" wp14:editId="2B8BFAA6">
            <wp:extent cx="243205" cy="233680"/>
            <wp:effectExtent l="0" t="0" r="444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входящие в область применения Правил ЕЭК ООН N 94 и 95,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41B706C" wp14:editId="1BB4A8F7">
            <wp:extent cx="213995" cy="23368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входящие в область применения Правил ЕЭК ООН N 95,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CC2DB60" wp14:editId="5A66F54C">
            <wp:extent cx="243205" cy="233680"/>
            <wp:effectExtent l="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ADD5587" wp14:editId="5826EB9E">
            <wp:extent cx="243205" cy="233680"/>
            <wp:effectExtent l="0" t="0" r="444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829E27D" wp14:editId="29E2CA4D">
            <wp:extent cx="213995" cy="2336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C77AD3B" wp14:editId="163DB8A8">
            <wp:extent cx="213995" cy="2336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должны комплектоваться устройством вызова экстренных оперативных служб (далее - устройство), соответствующим требованиям пункта 118 приложения N 10 к настоящему техническому регламенту.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16.2. Устройство должно обеспечивать: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16.2.1. Передачу сообщения о транспортном средстве, его текущем местоположении, направлении и скорости движения после нажатия кнопки экстренного вызова, а с 1 января 2017 г. - также автоматически при опрокидывании транспортного средства;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16.2.2. Двустороннюю громкую голосовую связь с экстренными оперативными службами через сети подвижной радиотелефонной связи.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16.3. Кнопка вызова экстренных оперативных служб должна устанавливаться в месте, которое находится в зоне прямой видимости с места водителя и сидящего впереди пассажира - мужчин 50-перцентильного уровня репрезентативности (если конструкция транспортного средства предусматривает нахождение сидящего впереди пассажира рядом с местом водителя) и обеспечивает возможность досягаемости ими кнопки вызова без отсоединения ремней безопасности.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16.4. Кнопка вызова экстренных оперативных служб должна иметь защиту от непреднамеренного нажатия механическим способом.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16.5. Кнопка вызова экстренных оперативных служб должна быть обеспечена подсветкой.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16.6. Оптический индикатор состояния устройства красного цвета постоянного (немигающего) свечения, 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видимый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в том числе в светлое время суток, размещается в области прямой видимости с места водителя и сидящего впереди пассажира, удовлетворяющих критериям, установленным пунктом 16.3. Указанный индикатор включается: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кратковременно (от 3 до 10 секунд) при подаче электроэнергии на электрическое оборудование транспортного средства при переводе включателя зажигания (пускового переключателя) в положение "включено" (рабочее </w:t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положение);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при возникновении (наличии) неисправности в системе, не позволяющей выполнять требования пункта 16.2, и остается включенным в течение всего времени наличия неисправности при нахождении включателя зажигания (пускового переключателя) в положении "включено" (рабочем положении).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Допускается отсутствие оптического индикатора, удовлетворяющего указанным требованиям,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(пускового переключателя) в положение "включено" (рабочее положение) посредством использования другого оптического индикатора, а также выведения на комбинацию приборов текстового сообщения о неисправности устройства, которое сохраняется в течение всего времени наличия неисправности при нахождении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включателя зажигания (пускового переключателя) в положении "включено" (рабочем положении).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16.7. Кнопка вызова экстренных оперативных служб и индикатор состояния устройства должны иметь идентифицирующие их символы. Индикатор состояния устройства может конструктивно совмещаться с кнопкой вызова экстренных оперативных служб.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17. Требования к транспортным средствам в отношении установки системы вызова экстренных оперативных служб 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17.1. 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Транспортные средства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58E1C133" wp14:editId="67BD95E5">
            <wp:extent cx="243205" cy="233680"/>
            <wp:effectExtent l="0" t="0" r="444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входящие в область применения Правил ЕЭК ООН N 94 и 95, и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F2C6042" wp14:editId="1475BDAA">
            <wp:extent cx="213995" cy="2336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, входящие в область применения Правил ЕЭК ООН N 95, должны комплектоваться системой вызова экстренных оперативных служб (далее - система), удовлетворяющей требованиям пунктов 16.2 - 16.7 настоящего приложения, а также пункта 118 приложения N 10 к настоящему техническому регламенту.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17.2. Система должна дополнительно обеспечивать: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17.2.1. 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Передачу сообщения о транспортном средстве автоматически при срабатывании подушки (подушек) безопасности или по сигналу датчика (датчиков) 6 вместо испытаний по Правилам ЕЭК ООН N 94 проводятся испытания по Правилам ЕЭК ООН N 12);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других компонентов системы пассивной безопасности либо других систем транспортного средства, определяющего (определяющих) уровень замедления транспортного средства при проведении испытаний, предусмотренных Правилами ЕЭК ООН N 94 и 95 (для транспортных средств, на которые распространяется действие указанных Правил.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Для транспортных средств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03F9D5A3" wp14:editId="22858E81">
            <wp:extent cx="213995" cy="2336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вместо испытаний по Правилам ЕЭК ООН N 94 проводятся испытания по Правилам ЕЭК ООН N 12);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17.2.2. После проведения указанных в пункте 17.2.1 испытаний сохранение работоспособности и двустороннюю голосовую связь с экстренными оперативными службами.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17.3. В целях выполнения требований пункта 17.2.1 транспортные средства должны оснащаться, по меньшей мере, подушкой безопасности водителя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.".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7. </w:t>
      </w:r>
      <w:hyperlink r:id="rId50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Приложение N 4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к указанному техническому регламенту дополнить </w:t>
      </w:r>
      <w:hyperlink r:id="rId51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пунктом 5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"5. Требования к транспортным средствам в отношении установки устройства (системы) вызова экстренных оперативных служб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5.1. Транспортные средства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8B8BEDB" wp14:editId="627EC926">
            <wp:extent cx="243205" cy="233680"/>
            <wp:effectExtent l="0" t="0" r="444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входящие в область применения Правил ЕЭК ООН N 94 и 95,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4F79EBB" wp14:editId="1A91434D">
            <wp:extent cx="213995" cy="2336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входящие в область применения Правил ЕЭК ООН N 95,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51CFB2DE" wp14:editId="280DDCF2">
            <wp:extent cx="243205" cy="233680"/>
            <wp:effectExtent l="0" t="0" r="444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6E1F1C7" wp14:editId="15052C2C">
            <wp:extent cx="243205" cy="233680"/>
            <wp:effectExtent l="0" t="0" r="444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027C5567" wp14:editId="76E4F37B">
            <wp:extent cx="213995" cy="2336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485DB630" wp14:editId="4E232D9F">
            <wp:extent cx="213995" cy="23368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должны комплектоваться устройством вызова экстренных оперативных служб (далее - устройство), соответствующим требованиям пункта 118 приложения N 10 к настоящему техническому регламенту.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Устройство должно обеспечивать выполнение требований, установленных пунктом 16 приложения N 3 к настоящему техническому регламенту.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5.2. Транспортные средства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369A12F7" wp14:editId="4FD65E47">
            <wp:extent cx="243205" cy="233680"/>
            <wp:effectExtent l="0" t="0" r="444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входящие в область применения Правил ЕЭК ООН N 94 и 95, и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DEBADBF" wp14:editId="05755E11">
            <wp:extent cx="213995" cy="23368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, входящие в область применения Правил ЕЭК ООН N 95, должны комплектоваться системой вызова экстренных оперативных служб (далее - система).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Система должна обеспечивать выполнение требований, установленных пунктом 17 приложения N 3 к настоящему техническому регламенту.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5.3. Требования, установленные пунктом 5 настоящего приложения, применяются: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с 1 января 2016 г. - в отношении транспортных средств категорий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02A67863" wp14:editId="47652902">
            <wp:extent cx="243205" cy="233680"/>
            <wp:effectExtent l="0" t="0" r="444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входящих в область применения Правил ЕЭК ООН N 94 и 95, категории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0EE310AB" wp14:editId="3803198F">
            <wp:extent cx="213995" cy="23368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не входящих в область применения Правил ЕЭК ООН N 95,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69F84795" wp14:editId="74DF07A7">
            <wp:extent cx="243205" cy="233680"/>
            <wp:effectExtent l="0" t="0" r="444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2B357A6B" wp14:editId="3DA63250">
            <wp:extent cx="243205" cy="233680"/>
            <wp:effectExtent l="0" t="0" r="444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2BE4FFEE" wp14:editId="0B3B1146">
            <wp:extent cx="213995" cy="2336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r w:rsidRPr="009872DE"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 wp14:anchorId="74126CAA" wp14:editId="01DFA57B">
            <wp:extent cx="213995" cy="2336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, используемых для коммерческой перевозки пассажиров, специально предназначенных для перевозки детей в возрасте от 6 до 16 лет, а также для перевозки опасных грузов, тягачей, используемых для</w:t>
      </w:r>
      <w:proofErr w:type="gramEnd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буксировки прицепов, перевозящих опасные грузы;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с 1 января 2017 г. - в отношении всех транспортных средств категорий М и N.".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8. </w:t>
      </w:r>
      <w:hyperlink r:id="rId59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Приложение N 8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к указанному техническому регламенту дополнить </w:t>
      </w:r>
      <w:hyperlink r:id="rId60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пунктами 10.20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61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10.21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"10.20. Установленные на транспортном средстве устройство или система вызова экстренных оперативных служб должны быть работоспособными.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10.21. Установленная на транспортном средстве аппаратура спутниковой навигации должна быть работоспособной</w:t>
      </w:r>
      <w:proofErr w:type="gramStart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>.".</w:t>
      </w:r>
      <w:proofErr w:type="gramEnd"/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9. </w:t>
      </w:r>
      <w:hyperlink r:id="rId62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Приложение N 10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к указанному техническому регламенту дополнить </w:t>
      </w:r>
      <w:hyperlink r:id="rId63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позициями 117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64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118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следующего содержания: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  <w:sectPr w:rsidR="009872DE" w:rsidRPr="009872D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640"/>
        <w:gridCol w:w="2240"/>
        <w:gridCol w:w="8120"/>
      </w:tblGrid>
      <w:tr w:rsidR="009872DE" w:rsidRPr="009872DE" w:rsidTr="004E0B1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Аппаратура спутниковой навигации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2с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Правила ЕЭК ООН N 10-03.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Должны обеспечиваться: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обновления информации, хранящейся на персональной универсальной многопрофильной идентификационной карте абонента, по сетям подвижной радиотелефонной связи стандартов GSM 900 и GSM 1800;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осуществления голосовой связи в режиме громкой связи по сетям подвижной радиотелефонной связи стандартов GSM 900 и GSM 1800;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индикация состояния аппаратуры;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использования интерфейсов RS232, RS485, CAN и USB для обмена данными с внешними устройствами и наличие не менее двух дискретных и двух аналоговых входов;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0,1 м/</w:t>
            </w:r>
            <w:proofErr w:type="gramStart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</w:t>
            </w:r>
            <w:proofErr w:type="gramEnd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при доверительной вероятности 0,95;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объем внутренней энергонезависимой памяти, обеспечивающий запись: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транспортных средств категории М - не менее 150 000 последовательно зарегистрированных событий;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для транспортных средств категории N - не менее 20 000 последовательно зарегистрированных событий;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сохранение во внутренней памяти сообщений, которые не удалось передать по сетям подвижной радиотелефонной связи стандартов GSM 900 и GSM 1800, и передача этих сообщений при восстановлении связи.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872DE" w:rsidRPr="009872DE" w:rsidTr="004E0B1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118.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Устройство вызова экстренных оперативных служб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2с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Правила ЕЭК ООН N 10-03.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Работоспособность устройства обеспечивается при температуре </w:t>
            </w: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окружающего воздуха от - 40</w:t>
            </w:r>
            <w:proofErr w:type="gramStart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°С</w:t>
            </w:r>
            <w:proofErr w:type="gramEnd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до + 85°С. Для резервной батареи (при наличии) допускается минимальная рабочая температура не выше - 20°С.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Работоспособность устройства и его крепления на транспортном средстве сохраняются при нагрузках, возникающих при проведении динамических испытаний в соответствии с добавлением к Приложению 9 к Правилам ЕЭК ООН N 17.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Устройство имеет </w:t>
            </w:r>
            <w:proofErr w:type="spellStart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неснимаемую</w:t>
            </w:r>
            <w:proofErr w:type="spellEnd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1800, а также UMTS 900 и UMTS 2000.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Устройство обеспечивает: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определение местоположения с погрешностью не более 15 м по координатным осям при доверительной вероятности 0,95;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установление двухстороннего дуплексного голосового соединения в режиме громкой связи c оператором экстренных оперативных служб;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передачу сообщения о транспортном средстве с использованием тонального модема, работающего в сетях </w:t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подвижной радиотелефонной связи стандартов GSM 900 и GSM 1800, UMTS 900 и UMTS 2000;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обязательные признаки приоритетности экстренного вызова в сетях подвижной </w:t>
            </w: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радиотелефонной связи стандартов GSM 900 и GSM 1800, UMTS 900 и UMTS 2000;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 невозможности передачи информации с использованием тонального модема, работающего в сетях подвижной радиотелефонной связи, в течение 20 секунд после начала передачи информации - прекращение использования тонального модема и осуществление повторной передачи информации посредством использования коротких текстовых сообщений (СМС);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повторной передачи информации с использованием тонального модема, работающего через установленное голосовое соединение, и посредством использования СМС в сетях подвижной радиотелефонной связи стандартов GSM 900 и GSM 1800, UMTS 900 и</w:t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UMTS 2000;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после завершения экстренного вызова прием команды на осуществление повторного экстренного вызова, поступающей в виде СМС, и осуществление повторного экстренного вызова в течение настраиваемого промежутка времени;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отключение при осуществлении экстренного вызова иных средств воспроизведения звука на транспортном средстве на период голосового соединения, за исключением сре</w:t>
            </w:r>
            <w:proofErr w:type="gramStart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дств сп</w:t>
            </w:r>
            <w:proofErr w:type="gramEnd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ециальной связи;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при невозможности передачи информации посредством использования сетей подвижной радиотелефонной связи стандартов GSM 900 и GSM 1800, UMTS 900 и UMTS 2000 - сохранение в энергонезависимой памяти непереданной информации и передачу ее при восстановлении такой </w:t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возможности;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автоматический прием входящих телефонных вызовов в </w:t>
            </w: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течение не менее 20 минут после завершения экстренного вызова;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подключение к бортовой электрической сети транспортного средства, обеспечивающее работу устройства во всех предусмотренных режимах, а также зарядку резервной батареи питания (при наличии);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 отсутствии питания от бортовой электрической сети -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связи. Срок службы резервной батареи составляет не менее 3 лет;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возможность проверки своей работоспособности в </w:t>
            </w:r>
            <w:proofErr w:type="gramStart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автоматическом</w:t>
            </w:r>
            <w:proofErr w:type="gramEnd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возможность передачи результатов тестирования устройства посредством использования сетей</w:t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подвижной радиотелефонной связи стандартов GSM 900 и GSM 1800, UMTS 900 и UMTS 2000;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возможность обновления информации, хранящейся на </w:t>
            </w:r>
            <w:proofErr w:type="spellStart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неснимаемой</w:t>
            </w:r>
            <w:proofErr w:type="spellEnd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персональной универсальной многопрофильной идентификационной карте абонента, по сетям подвижной радиотелефонной связи стандартов GSM 900 и GSM 1800, а также UMTS 900 и UMTS 2000;</w:t>
            </w:r>
          </w:p>
          <w:p w:rsidR="009872DE" w:rsidRPr="00D6579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5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возможность работы с внешними дополнительными устройствами (включая устройства, предназначенные для </w:t>
            </w:r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определения события дорожно-транспортного происшествия), подключаемыми посредством стандартизованного разъема и </w:t>
            </w: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стандартизованного протокола передачи данных. Физический интерфейс передачи данных обеспечивает скорость передачи данных не менее 62,5 </w:t>
            </w:r>
            <w:proofErr w:type="spellStart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кБит</w:t>
            </w:r>
            <w:proofErr w:type="spellEnd"/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/c.</w:t>
            </w:r>
          </w:p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579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</w:t>
            </w:r>
            <w:bookmarkStart w:id="0" w:name="_GoBack"/>
            <w:bookmarkEnd w:id="0"/>
            <w:r w:rsidRPr="009872D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положении транспортного средства устойчивую связь по сетям подвижной радиотелефонной связи, обеспечивающим прием и передачу сигналов стандартов GSM 900, GSM 1800, а также UMTS 900 и UMTS 2000.</w:t>
            </w:r>
          </w:p>
        </w:tc>
      </w:tr>
      <w:tr w:rsidR="009872DE" w:rsidRPr="009872DE" w:rsidTr="004E0B1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9872DE" w:rsidRPr="009872DE" w:rsidRDefault="009872DE" w:rsidP="0098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</w:tbl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872DE">
        <w:rPr>
          <w:rFonts w:ascii="Arial" w:eastAsiaTheme="minorEastAsia" w:hAnsi="Arial" w:cs="Arial"/>
          <w:sz w:val="26"/>
          <w:szCs w:val="26"/>
          <w:lang w:eastAsia="ru-RU"/>
        </w:rPr>
        <w:t>".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  <w:sectPr w:rsidR="009872DE" w:rsidRPr="009872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1010"/>
      <w:r w:rsidRPr="009872D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10. В приложении N 14 к указанному техническому регламенту (приложение N 1 к одобрению типа транспортного средства) в таблице </w:t>
      </w:r>
      <w:hyperlink r:id="rId65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позицию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"Оборудование транспортного средства" в правой колонке после слова "антенна" дополнить словами ", устройство (система) вызова экстренных оперативных служб".</w:t>
      </w:r>
    </w:p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1011"/>
      <w:bookmarkEnd w:id="1"/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11. В приложении N 15 к указанному техническому регламенту (приложение N 1 к одобрению типа шасси) в таблице </w:t>
      </w:r>
      <w:hyperlink r:id="rId66" w:history="1">
        <w:r w:rsidRPr="009872D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позицию</w:t>
        </w:r>
      </w:hyperlink>
      <w:r w:rsidRPr="009872DE">
        <w:rPr>
          <w:rFonts w:ascii="Arial" w:eastAsiaTheme="minorEastAsia" w:hAnsi="Arial" w:cs="Arial"/>
          <w:sz w:val="26"/>
          <w:szCs w:val="26"/>
          <w:lang w:eastAsia="ru-RU"/>
        </w:rPr>
        <w:t xml:space="preserve"> "Оборудование шасси" в правой колонке после слова "антенна" дополнить словами ", устройство (система) вызова экстренных оперативных служб".</w:t>
      </w:r>
    </w:p>
    <w:bookmarkEnd w:id="2"/>
    <w:p w:rsidR="009872DE" w:rsidRPr="009872DE" w:rsidRDefault="009872DE" w:rsidP="00987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F0A08" w:rsidRDefault="00D6579E"/>
    <w:sectPr w:rsidR="000F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A"/>
    <w:rsid w:val="0037634A"/>
    <w:rsid w:val="003A3C43"/>
    <w:rsid w:val="0055098F"/>
    <w:rsid w:val="008075BC"/>
    <w:rsid w:val="009872DE"/>
    <w:rsid w:val="00CB4A29"/>
    <w:rsid w:val="00D6579E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06658.1206131" TargetMode="External"/><Relationship Id="rId18" Type="http://schemas.openxmlformats.org/officeDocument/2006/relationships/image" Target="media/image2.emf"/><Relationship Id="rId26" Type="http://schemas.openxmlformats.org/officeDocument/2006/relationships/hyperlink" Target="garantF1://70006658.1124117" TargetMode="External"/><Relationship Id="rId39" Type="http://schemas.openxmlformats.org/officeDocument/2006/relationships/image" Target="media/image16.emf"/><Relationship Id="rId21" Type="http://schemas.openxmlformats.org/officeDocument/2006/relationships/image" Target="media/image5.emf"/><Relationship Id="rId34" Type="http://schemas.openxmlformats.org/officeDocument/2006/relationships/image" Target="media/image11.emf"/><Relationship Id="rId42" Type="http://schemas.openxmlformats.org/officeDocument/2006/relationships/hyperlink" Target="garantF1://70006658.13000" TargetMode="External"/><Relationship Id="rId47" Type="http://schemas.openxmlformats.org/officeDocument/2006/relationships/image" Target="media/image19.emf"/><Relationship Id="rId50" Type="http://schemas.openxmlformats.org/officeDocument/2006/relationships/hyperlink" Target="garantF1://70006658.14000" TargetMode="External"/><Relationship Id="rId55" Type="http://schemas.openxmlformats.org/officeDocument/2006/relationships/image" Target="media/image25.emf"/><Relationship Id="rId63" Type="http://schemas.openxmlformats.org/officeDocument/2006/relationships/hyperlink" Target="garantF1://70006658.110117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70006658.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06658.100131" TargetMode="External"/><Relationship Id="rId29" Type="http://schemas.openxmlformats.org/officeDocument/2006/relationships/hyperlink" Target="garantF1://70006658.121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ouz.ru/eek/RSEEK/RSEEK/2013/1z/Documents/P_6.pdf" TargetMode="External"/><Relationship Id="rId11" Type="http://schemas.openxmlformats.org/officeDocument/2006/relationships/hyperlink" Target="garantF1://70006658.1200692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9.emf"/><Relationship Id="rId37" Type="http://schemas.openxmlformats.org/officeDocument/2006/relationships/image" Target="media/image14.emf"/><Relationship Id="rId40" Type="http://schemas.openxmlformats.org/officeDocument/2006/relationships/hyperlink" Target="garantF1://70006658.121000" TargetMode="External"/><Relationship Id="rId45" Type="http://schemas.openxmlformats.org/officeDocument/2006/relationships/image" Target="media/image17.emf"/><Relationship Id="rId53" Type="http://schemas.openxmlformats.org/officeDocument/2006/relationships/image" Target="media/image23.emf"/><Relationship Id="rId58" Type="http://schemas.openxmlformats.org/officeDocument/2006/relationships/image" Target="media/image28.emf"/><Relationship Id="rId66" Type="http://schemas.openxmlformats.org/officeDocument/2006/relationships/hyperlink" Target="garantF1://70006658.115101" TargetMode="External"/><Relationship Id="rId5" Type="http://schemas.openxmlformats.org/officeDocument/2006/relationships/hyperlink" Target="http://www.tsouz.ru/eek/RSEEK/RSEEK/2013/1z/Documents/P_6.pdf" TargetMode="External"/><Relationship Id="rId15" Type="http://schemas.openxmlformats.org/officeDocument/2006/relationships/hyperlink" Target="garantF1://70006658.100013" TargetMode="External"/><Relationship Id="rId23" Type="http://schemas.openxmlformats.org/officeDocument/2006/relationships/image" Target="media/image7.emf"/><Relationship Id="rId28" Type="http://schemas.openxmlformats.org/officeDocument/2006/relationships/hyperlink" Target="garantF1://70006658.12000" TargetMode="External"/><Relationship Id="rId36" Type="http://schemas.openxmlformats.org/officeDocument/2006/relationships/image" Target="media/image13.emf"/><Relationship Id="rId49" Type="http://schemas.openxmlformats.org/officeDocument/2006/relationships/image" Target="media/image21.emf"/><Relationship Id="rId57" Type="http://schemas.openxmlformats.org/officeDocument/2006/relationships/image" Target="media/image27.emf"/><Relationship Id="rId61" Type="http://schemas.openxmlformats.org/officeDocument/2006/relationships/hyperlink" Target="garantF1://70006658.181021" TargetMode="External"/><Relationship Id="rId10" Type="http://schemas.openxmlformats.org/officeDocument/2006/relationships/hyperlink" Target="garantF1://70006658.1200672" TargetMode="External"/><Relationship Id="rId19" Type="http://schemas.openxmlformats.org/officeDocument/2006/relationships/image" Target="media/image3.emf"/><Relationship Id="rId31" Type="http://schemas.openxmlformats.org/officeDocument/2006/relationships/hyperlink" Target="garantF1://70006658.121114" TargetMode="External"/><Relationship Id="rId44" Type="http://schemas.openxmlformats.org/officeDocument/2006/relationships/hyperlink" Target="garantF1://70006658.13017" TargetMode="External"/><Relationship Id="rId52" Type="http://schemas.openxmlformats.org/officeDocument/2006/relationships/image" Target="media/image22.emf"/><Relationship Id="rId60" Type="http://schemas.openxmlformats.org/officeDocument/2006/relationships/hyperlink" Target="garantF1://70006658.181020" TargetMode="External"/><Relationship Id="rId65" Type="http://schemas.openxmlformats.org/officeDocument/2006/relationships/hyperlink" Target="garantF1://70006658.114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6658.120063" TargetMode="External"/><Relationship Id="rId14" Type="http://schemas.openxmlformats.org/officeDocument/2006/relationships/hyperlink" Target="garantF1://70006658.120142" TargetMode="External"/><Relationship Id="rId22" Type="http://schemas.openxmlformats.org/officeDocument/2006/relationships/image" Target="media/image6.emf"/><Relationship Id="rId27" Type="http://schemas.openxmlformats.org/officeDocument/2006/relationships/hyperlink" Target="garantF1://70006658.1124118" TargetMode="External"/><Relationship Id="rId30" Type="http://schemas.openxmlformats.org/officeDocument/2006/relationships/hyperlink" Target="garantF1://70006658.121113" TargetMode="External"/><Relationship Id="rId35" Type="http://schemas.openxmlformats.org/officeDocument/2006/relationships/image" Target="media/image12.emf"/><Relationship Id="rId43" Type="http://schemas.openxmlformats.org/officeDocument/2006/relationships/hyperlink" Target="garantF1://70006658.13016" TargetMode="External"/><Relationship Id="rId48" Type="http://schemas.openxmlformats.org/officeDocument/2006/relationships/image" Target="media/image20.emf"/><Relationship Id="rId56" Type="http://schemas.openxmlformats.org/officeDocument/2006/relationships/image" Target="media/image26.emf"/><Relationship Id="rId64" Type="http://schemas.openxmlformats.org/officeDocument/2006/relationships/hyperlink" Target="garantF1://70006658.110118" TargetMode="External"/><Relationship Id="rId8" Type="http://schemas.openxmlformats.org/officeDocument/2006/relationships/hyperlink" Target="garantF1://70006658.1200063" TargetMode="External"/><Relationship Id="rId51" Type="http://schemas.openxmlformats.org/officeDocument/2006/relationships/hyperlink" Target="garantF1://70006658.1400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006658.120103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70006658.11240" TargetMode="External"/><Relationship Id="rId33" Type="http://schemas.openxmlformats.org/officeDocument/2006/relationships/image" Target="media/image10.emf"/><Relationship Id="rId38" Type="http://schemas.openxmlformats.org/officeDocument/2006/relationships/image" Target="media/image15.emf"/><Relationship Id="rId46" Type="http://schemas.openxmlformats.org/officeDocument/2006/relationships/image" Target="media/image18.emf"/><Relationship Id="rId59" Type="http://schemas.openxmlformats.org/officeDocument/2006/relationships/hyperlink" Target="garantF1://70006658.18000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4.emf"/><Relationship Id="rId41" Type="http://schemas.openxmlformats.org/officeDocument/2006/relationships/hyperlink" Target="garantF1://70006658.121037" TargetMode="External"/><Relationship Id="rId54" Type="http://schemas.openxmlformats.org/officeDocument/2006/relationships/image" Target="media/image24.emf"/><Relationship Id="rId62" Type="http://schemas.openxmlformats.org/officeDocument/2006/relationships/hyperlink" Target="garantF1://70006658.1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3136</Words>
  <Characters>17878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Изменения, которые вносятся в технический регламент Таможенного союза "О безопас</vt:lpstr>
      <vt:lpstr>"16. Требования к транспортным средствам в отношении установки устройства вызова</vt:lpstr>
      <vt:lpstr>17. Требования к транспортным средствам в отношении установки системы вызова экс</vt:lpstr>
      <vt:lpstr>"5. Требования к транспортным средствам в отношении установки устройства (систем</vt:lpstr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Виктор Михайлович</dc:creator>
  <cp:lastModifiedBy>Климовский Артем Михайлович</cp:lastModifiedBy>
  <cp:revision>3</cp:revision>
  <dcterms:created xsi:type="dcterms:W3CDTF">2014-05-22T13:59:00Z</dcterms:created>
  <dcterms:modified xsi:type="dcterms:W3CDTF">2014-05-22T14:43:00Z</dcterms:modified>
</cp:coreProperties>
</file>